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Title"/>
      <w:bookmarkEnd w:id="0"/>
      <w:bookmarkStart w:id="1" w:name="DocumentFor"/>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10978</w:t>
      </w:r>
      <w:bookmarkStart w:id="3" w:name="_GoBack"/>
      <w:bookmarkEnd w:id="3"/>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eastAsia="宋体" w:cs="Arial"/>
          <w:b/>
          <w:color w:val="auto"/>
          <w:sz w:val="24"/>
          <w:szCs w:val="24"/>
          <w:lang w:eastAsia="zh-CN"/>
        </w:rPr>
        <w:t>Banalore, India, 25th – 29th August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UE demodulation performance requirements for 8Rx with MMSE-IRC</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7.17.3</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UE performance requirements for 8Rx CPE/FWA/vehicle/industrial devices, which was approved in [1], wherein the objectives related to 8Rx for CPE/FWA /vehicles are listed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numPr>
                <w:ilvl w:val="0"/>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Define the following UE performance </w:t>
            </w:r>
            <w:r>
              <w:rPr>
                <w:rFonts w:hint="default"/>
                <w:szCs w:val="20"/>
                <w:lang w:val="en-US" w:eastAsia="zh-CN"/>
              </w:rPr>
              <w:t>requirements</w:t>
            </w:r>
            <w:r>
              <w:rPr>
                <w:rFonts w:hint="default"/>
                <w:szCs w:val="20"/>
                <w:lang w:eastAsia="zh-CN"/>
              </w:rPr>
              <w:t xml:space="preserve"> for 8Rx CPE/FWA/vehicle/industrial devices:</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and CQI reporting requirements with inter-cell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 xml:space="preserve">Reuse the Rel-17 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p>
            <w:pPr>
              <w:keepNext w:val="0"/>
              <w:keepLines w:val="0"/>
              <w:widowControl/>
              <w:numPr>
                <w:ilvl w:val="1"/>
                <w:numId w:val="7"/>
              </w:numPr>
              <w:suppressLineNumbers w:val="0"/>
              <w:overflowPunct/>
              <w:autoSpaceDE/>
              <w:autoSpaceDN/>
              <w:adjustRightInd/>
              <w:snapToGrid w:val="0"/>
              <w:spacing w:before="0" w:beforeAutospacing="0" w:after="120" w:afterAutospacing="0"/>
              <w:ind w:right="0"/>
              <w:textAlignment w:val="auto"/>
              <w:rPr>
                <w:rFonts w:hint="default"/>
                <w:szCs w:val="20"/>
                <w:lang w:eastAsia="zh-CN"/>
              </w:rPr>
            </w:pPr>
            <w:r>
              <w:rPr>
                <w:rFonts w:hint="default"/>
                <w:szCs w:val="20"/>
                <w:lang w:eastAsia="zh-CN"/>
              </w:rPr>
              <w:t>PDSCH demodulation requirements with intra-cell inter-user interference with MMSE-IRC receiver</w:t>
            </w:r>
          </w:p>
          <w:p>
            <w:pPr>
              <w:keepNext w:val="0"/>
              <w:keepLines w:val="0"/>
              <w:widowControl/>
              <w:numPr>
                <w:ilvl w:val="2"/>
                <w:numId w:val="7"/>
              </w:numPr>
              <w:suppressLineNumbers w:val="0"/>
              <w:overflowPunct/>
              <w:autoSpaceDE/>
              <w:autoSpaceDN/>
              <w:adjustRightInd/>
              <w:snapToGrid w:val="0"/>
              <w:spacing w:before="0" w:beforeAutospacing="0" w:after="120" w:afterAutospacing="0"/>
              <w:ind w:right="0"/>
              <w:textAlignment w:val="auto"/>
              <w:rPr>
                <w:rFonts w:hint="default"/>
                <w:szCs w:val="22"/>
                <w:vertAlign w:val="baseline"/>
                <w:lang w:val="en-US" w:eastAsia="zh-CN"/>
              </w:rPr>
            </w:pPr>
            <w:r>
              <w:rPr>
                <w:rFonts w:hint="default"/>
                <w:szCs w:val="20"/>
                <w:lang w:eastAsia="zh-CN"/>
              </w:rPr>
              <w:t xml:space="preserve">Reuse the </w:t>
            </w:r>
            <w:r>
              <w:rPr>
                <w:rFonts w:hint="eastAsia"/>
                <w:szCs w:val="20"/>
                <w:lang w:eastAsia="zh-CN"/>
              </w:rPr>
              <w:t xml:space="preserve">existing </w:t>
            </w:r>
            <w:r>
              <w:rPr>
                <w:rFonts w:hint="default"/>
                <w:szCs w:val="20"/>
                <w:lang w:eastAsia="zh-CN"/>
              </w:rPr>
              <w:t xml:space="preserve">interference </w:t>
            </w:r>
            <w:r>
              <w:rPr>
                <w:rFonts w:hint="eastAsia"/>
                <w:szCs w:val="20"/>
                <w:lang w:eastAsia="zh-CN"/>
              </w:rPr>
              <w:t>model</w:t>
            </w:r>
            <w:r>
              <w:rPr>
                <w:rFonts w:hint="default"/>
                <w:szCs w:val="20"/>
                <w:lang w:eastAsia="zh-CN"/>
              </w:rPr>
              <w:t xml:space="preserve"> for 2/4Rx UE</w:t>
            </w:r>
            <w:r>
              <w:rPr>
                <w:rFonts w:hint="eastAsia"/>
                <w:szCs w:val="20"/>
                <w:lang w:eastAsia="zh-CN"/>
              </w:rPr>
              <w:t xml:space="preserve"> as a baseline</w:t>
            </w:r>
          </w:p>
        </w:tc>
      </w:tr>
    </w:tbl>
    <w:p>
      <w:pPr>
        <w:spacing w:before="120" w:after="120"/>
        <w:rPr>
          <w:rFonts w:hint="default"/>
          <w:lang w:val="en-US" w:eastAsia="zh-CN"/>
        </w:rPr>
      </w:pPr>
      <w:r>
        <w:rPr>
          <w:rFonts w:hint="eastAsia"/>
          <w:szCs w:val="22"/>
          <w:lang w:val="en-US" w:eastAsia="zh-CN"/>
        </w:rPr>
        <w:t xml:space="preserve">In this contribution, we give some initial simulation results on the </w:t>
      </w:r>
      <w:r>
        <w:rPr>
          <w:lang w:eastAsia="zh-CN"/>
        </w:rPr>
        <w:t xml:space="preserve">UE performance </w:t>
      </w:r>
      <w:r>
        <w:rPr>
          <w:lang w:val="en-US" w:eastAsia="zh-CN"/>
        </w:rPr>
        <w:t>requirements</w:t>
      </w:r>
      <w:r>
        <w:rPr>
          <w:lang w:eastAsia="zh-CN"/>
        </w:rPr>
        <w:t xml:space="preserve"> for 8Rx CPE/FWA/vehicle/industrial device</w:t>
      </w:r>
      <w:r>
        <w:rPr>
          <w:rFonts w:hint="eastAsia"/>
          <w:lang w:val="en-US" w:eastAsia="zh-CN"/>
        </w:rPr>
        <w:t>, which include inter-cell interference cancellation based on the lasting meeting conclusion [2].</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spacing w:before="120" w:after="120"/>
        <w:rPr>
          <w:rFonts w:hint="eastAsia"/>
          <w:lang w:val="en-US" w:eastAsia="zh-CN"/>
        </w:rPr>
      </w:pPr>
      <w:r>
        <w:rPr>
          <w:rFonts w:hint="eastAsia"/>
          <w:lang w:val="en-US" w:eastAsia="zh-CN"/>
        </w:rPr>
        <w:t xml:space="preserve">In last meeting, RAN4 discussed whether introduce two set requirements for baseline and simplified receivers. Considering that there may be differences in performance of different receivers. Consequently, we conducted numerous simulations to substantiate whether there exists a performance disparity between the baseline and simplified receivers. </w:t>
      </w:r>
    </w:p>
    <w:p>
      <w:pPr>
        <w:spacing w:before="120" w:after="120"/>
        <w:rPr>
          <w:rFonts w:hint="eastAsia"/>
          <w:lang w:val="en-US" w:eastAsia="zh-CN"/>
        </w:rPr>
      </w:pPr>
      <w:r>
        <w:rPr>
          <w:rFonts w:hint="eastAsia"/>
          <w:lang w:val="en-US" w:eastAsia="zh-CN"/>
        </w:rPr>
        <w:t>The detail simulation assumptions as shown in following Table 2-1.</w:t>
      </w:r>
    </w:p>
    <w:p>
      <w:pPr>
        <w:spacing w:before="120" w:after="120"/>
        <w:rPr>
          <w:rFonts w:hint="eastAsia"/>
          <w:lang w:val="en-US" w:eastAsia="zh-CN"/>
        </w:rPr>
      </w:pPr>
      <w:r>
        <w:rPr>
          <w:rFonts w:hint="eastAsia"/>
          <w:lang w:val="en-US" w:eastAsia="zh-CN"/>
        </w:rPr>
        <w:t xml:space="preserve">We evaluated HomNet and HetNet scenarios with different MCS, propagation conditions and different Rank, etc. </w:t>
      </w:r>
    </w:p>
    <w:p>
      <w:pPr>
        <w:spacing w:before="120" w:after="120"/>
        <w:rPr>
          <w:rFonts w:hint="default"/>
          <w:lang w:val="en-US" w:eastAsia="zh-CN"/>
        </w:rPr>
      </w:pPr>
      <w:r>
        <w:rPr>
          <w:rFonts w:hint="eastAsia"/>
          <w:lang w:val="en-US" w:eastAsia="zh-CN"/>
        </w:rPr>
        <w:t>The SNR corresponding to 70% maximum throughput is shown in Table 2-2.</w:t>
      </w:r>
    </w:p>
    <w:p>
      <w:pPr>
        <w:spacing w:before="120" w:after="120"/>
        <w:rPr>
          <w:rFonts w:hint="eastAsia"/>
          <w:lang w:val="en-US" w:eastAsia="zh-CN"/>
        </w:rPr>
      </w:pPr>
    </w:p>
    <w:p>
      <w:pPr>
        <w:spacing w:before="120" w:after="120"/>
        <w:outlineLvl w:val="1"/>
        <w:rPr>
          <w:rFonts w:hint="default"/>
          <w:lang w:val="en-US" w:eastAsia="zh-CN"/>
        </w:rPr>
      </w:pPr>
      <w:r>
        <w:rPr>
          <w:rFonts w:hint="eastAsia"/>
          <w:b/>
          <w:bCs/>
          <w:sz w:val="24"/>
          <w:szCs w:val="24"/>
          <w:lang w:val="en-US" w:eastAsia="zh-CN"/>
        </w:rPr>
        <w:t>Inter cell interference cancellation</w:t>
      </w:r>
      <w:r>
        <w:rPr>
          <w:rFonts w:hint="eastAsia"/>
          <w:lang w:val="en-US" w:eastAsia="zh-CN"/>
        </w:rPr>
        <w:t xml:space="preserve"> </w:t>
      </w:r>
    </w:p>
    <w:p>
      <w:pPr>
        <w:widowControl w:val="0"/>
        <w:spacing w:beforeLines="100" w:afterLines="0" w:line="240" w:lineRule="auto"/>
        <w:jc w:val="both"/>
        <w:rPr>
          <w:rFonts w:hint="default"/>
          <w:b/>
          <w:bCs/>
          <w:i/>
          <w:iCs/>
          <w:szCs w:val="21"/>
          <w:lang w:val="en-US" w:eastAsia="zh-CN"/>
        </w:rPr>
      </w:pPr>
    </w:p>
    <w:p>
      <w:pPr>
        <w:pStyle w:val="55"/>
        <w:rPr>
          <w:rFonts w:hint="default"/>
          <w:b/>
          <w:bCs/>
          <w:i/>
          <w:iCs/>
          <w:szCs w:val="21"/>
          <w:lang w:val="en-US" w:eastAsia="zh-CN"/>
        </w:rPr>
      </w:pPr>
      <w:r>
        <w:rPr>
          <w:rFonts w:eastAsia="宋体"/>
        </w:rPr>
        <w:t xml:space="preserve">Table </w:t>
      </w:r>
      <w:r>
        <w:rPr>
          <w:rFonts w:hint="eastAsia"/>
          <w:lang w:val="en-US" w:eastAsia="zh-CN"/>
        </w:rPr>
        <w:t>2-1</w:t>
      </w:r>
      <w:r>
        <w:rPr>
          <w:rFonts w:hint="eastAsia" w:eastAsia="宋体"/>
        </w:rPr>
        <w:t>:</w:t>
      </w:r>
      <w:r>
        <w:rPr>
          <w:rFonts w:eastAsia="宋体"/>
        </w:rPr>
        <w:t xml:space="preserve"> Test parameters</w:t>
      </w:r>
    </w:p>
    <w:tbl>
      <w:tblPr>
        <w:tblStyle w:val="22"/>
        <w:tblW w:w="0" w:type="auto"/>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2132"/>
        <w:gridCol w:w="682"/>
        <w:gridCol w:w="1848"/>
        <w:gridCol w:w="1710"/>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Parameter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Unit</w:t>
            </w: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b/>
                <w:sz w:val="18"/>
                <w:szCs w:val="20"/>
                <w:lang w:val="en-GB" w:eastAsia="en-US" w:bidi="ar-SA"/>
              </w:rPr>
            </w:pPr>
            <w:r>
              <w:rPr>
                <w:rFonts w:hint="default" w:ascii="Arial" w:hAnsi="Arial" w:eastAsia="宋体" w:cs="Times New Roman"/>
                <w:b/>
                <w:sz w:val="18"/>
                <w:szCs w:val="20"/>
                <w:lang w:val="en-GB" w:eastAsia="en-US" w:bidi="ar-SA"/>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Cell 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C</w:t>
            </w:r>
            <w:r>
              <w:rPr>
                <w:rFonts w:hint="default" w:ascii="Arial" w:hAnsi="Arial" w:eastAsia="宋体" w:cs="Times New Roman"/>
                <w:sz w:val="18"/>
                <w:szCs w:val="20"/>
                <w:lang w:val="en-GB" w:eastAsia="en-US" w:bidi="ar-SA"/>
              </w:rPr>
              <w:t>ell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E</w:t>
            </w:r>
            <w:r>
              <w:rPr>
                <w:rFonts w:hint="default" w:ascii="Arial" w:hAnsi="Arial" w:eastAsia="宋体" w:cs="Times New Roman"/>
                <w:sz w:val="18"/>
                <w:szCs w:val="20"/>
                <w:lang w:val="en-GB" w:eastAsia="en-US" w:bidi="ar-SA"/>
              </w:rPr>
              <w:t>nabled</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Enabled </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US" w:eastAsia="zh-CN" w:bidi="ar-SA"/>
              </w:rPr>
            </w:pPr>
            <w:r>
              <w:rPr>
                <w:rFonts w:hint="eastAsia" w:ascii="Arial" w:hAnsi="Arial" w:eastAsia="宋体" w:cs="Times New Roman"/>
                <w:sz w:val="18"/>
                <w:szCs w:val="20"/>
                <w:lang w:val="en-GB" w:eastAsia="en-US" w:bidi="ar-SA"/>
              </w:rPr>
              <w:t>Disabled for</w:t>
            </w:r>
            <w:r>
              <w:rPr>
                <w:rFonts w:hint="eastAsia" w:ascii="Arial" w:hAnsi="Arial" w:eastAsia="宋体" w:cs="Times New Roman"/>
                <w:sz w:val="18"/>
                <w:szCs w:val="20"/>
                <w:lang w:val="en-US" w:eastAsia="zh-CN" w:bidi="ar-SA"/>
              </w:rPr>
              <w:t xml:space="preserve"> 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Duplex mode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Active DL BWP index</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P</w:t>
            </w:r>
            <w:r>
              <w:rPr>
                <w:rFonts w:hint="default" w:ascii="Arial" w:hAnsi="Arial" w:eastAsia="宋体" w:cs="Times New Roman"/>
                <w:sz w:val="18"/>
                <w:szCs w:val="20"/>
                <w:lang w:val="en-GB" w:eastAsia="en-US" w:bidi="ar-SA"/>
              </w:rPr>
              <w:t>hysical cell ID</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ransmission rank</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Random rank with 70% and 30% probability for rank 1 and rank 2</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Random rank with 70% and 30% probability for rank 1 and rank 2 for </w:t>
            </w:r>
            <w:r>
              <w:rPr>
                <w:rFonts w:hint="eastAsia" w:ascii="Arial" w:hAnsi="Arial" w:eastAsia="宋体" w:cs="Arial"/>
                <w:sz w:val="18"/>
                <w:szCs w:val="18"/>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Arial"/>
                <w:sz w:val="18"/>
                <w:szCs w:val="18"/>
                <w:lang w:val="en-US" w:eastAsia="zh-CN" w:bidi="ar-SA"/>
              </w:rPr>
            </w:pPr>
            <w:r>
              <w:rPr>
                <w:rFonts w:hint="default" w:ascii="Arial" w:hAnsi="Arial" w:eastAsia="宋体" w:cs="Arial"/>
                <w:sz w:val="18"/>
                <w:szCs w:val="18"/>
                <w:lang w:val="en-GB" w:eastAsia="en-US" w:bidi="ar-SA"/>
              </w:rPr>
              <w:t xml:space="preserve">N/A for </w:t>
            </w:r>
            <w:r>
              <w:rPr>
                <w:rFonts w:hint="eastAsia" w:ascii="Arial" w:hAnsi="Arial" w:eastAsia="宋体" w:cs="Arial"/>
                <w:sz w:val="18"/>
                <w:szCs w:val="18"/>
                <w:lang w:val="en-US" w:eastAsia="zh-CN" w:bidi="ar-SA"/>
              </w:rPr>
              <w:t>HetNet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T</w:t>
            </w:r>
            <w:r>
              <w:rPr>
                <w:rFonts w:hint="default" w:ascii="Arial" w:hAnsi="Arial" w:eastAsia="宋体" w:cs="Times New Roman"/>
                <w:sz w:val="18"/>
                <w:szCs w:val="20"/>
                <w:lang w:val="en-GB" w:eastAsia="en-US" w:bidi="ar-SA"/>
              </w:rPr>
              <w:t>ime offset</w:t>
            </w:r>
            <w:r>
              <w:rPr>
                <w:rFonts w:hint="eastAsia" w:ascii="Arial" w:hAnsi="Arial" w:eastAsia="宋体" w:cs="v5.0.0"/>
                <w:sz w:val="18"/>
                <w:szCs w:val="20"/>
                <w:lang w:val="en-GB" w:eastAsia="en-US" w:bidi="ar-SA"/>
              </w:rPr>
              <w:t xml:space="preserve"> </w:t>
            </w:r>
            <w:r>
              <w:rPr>
                <w:rFonts w:hint="default" w:ascii="Arial" w:hAnsi="Arial" w:eastAsia="宋体" w:cs="v5.0.0"/>
                <w:sz w:val="18"/>
                <w:szCs w:val="20"/>
                <w:lang w:val="en-GB" w:eastAsia="en-US" w:bidi="ar-SA"/>
              </w:rPr>
              <w:t xml:space="preserve">to Cell1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us</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3</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eastAsia" w:ascii="Arial" w:hAnsi="Arial" w:eastAsia="宋体" w:cs="v5.0.0"/>
                <w:sz w:val="18"/>
                <w:szCs w:val="20"/>
                <w:lang w:val="en-GB" w:eastAsia="en-US" w:bidi="ar-SA"/>
              </w:rPr>
              <w:t xml:space="preserve">Frequency </w:t>
            </w:r>
            <w:r>
              <w:rPr>
                <w:rFonts w:hint="default" w:ascii="Arial" w:hAnsi="Arial" w:eastAsia="宋体" w:cs="v5.0.0"/>
                <w:sz w:val="18"/>
                <w:szCs w:val="20"/>
                <w:lang w:val="en-GB" w:eastAsia="en-US" w:bidi="ar-SA"/>
              </w:rPr>
              <w:t>offset to Cell 1</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H</w:t>
            </w:r>
            <w:r>
              <w:rPr>
                <w:rFonts w:hint="default" w:ascii="Arial" w:hAnsi="Arial" w:eastAsia="宋体" w:cs="Times New Roman"/>
                <w:sz w:val="18"/>
                <w:szCs w:val="20"/>
                <w:lang w:val="en-GB" w:eastAsia="en-US" w:bidi="ar-SA"/>
              </w:rPr>
              <w:t>z</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300</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highlight w:val="none"/>
                <w:vertAlign w:val="superscript"/>
                <w:lang w:val="en-GB" w:eastAsia="en-US" w:bidi="ar-SA"/>
              </w:rPr>
            </w:pPr>
            <w:r>
              <w:rPr>
                <w:rFonts w:hint="eastAsia" w:ascii="Arial" w:hAnsi="Arial" w:eastAsia="宋体" w:cs="Times New Roman"/>
                <w:sz w:val="18"/>
                <w:szCs w:val="20"/>
                <w:highlight w:val="none"/>
                <w:lang w:val="en-GB" w:eastAsia="en-US" w:bidi="ar-SA"/>
              </w:rPr>
              <w:t>I</w:t>
            </w:r>
            <w:r>
              <w:rPr>
                <w:rFonts w:hint="default" w:ascii="Arial" w:hAnsi="Arial" w:eastAsia="宋体" w:cs="Times New Roman"/>
                <w:sz w:val="18"/>
                <w:szCs w:val="20"/>
                <w:highlight w:val="none"/>
                <w:lang w:val="en-GB" w:eastAsia="en-US" w:bidi="ar-SA"/>
              </w:rPr>
              <w:t xml:space="preserve">NR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default" w:ascii="Arial" w:hAnsi="Arial" w:eastAsia="宋体" w:cs="Times New Roman"/>
                <w:sz w:val="18"/>
                <w:szCs w:val="20"/>
                <w:highlight w:val="none"/>
                <w:lang w:val="en-GB" w:eastAsia="en-US" w:bidi="ar-SA"/>
              </w:rPr>
              <w:t>dB</w:t>
            </w:r>
          </w:p>
        </w:tc>
        <w:tc>
          <w:tcPr>
            <w:tcW w:w="1848"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eastAsia" w:ascii="Arial" w:hAnsi="Arial" w:eastAsia="宋体" w:cs="Times New Roman"/>
                <w:sz w:val="18"/>
                <w:szCs w:val="20"/>
                <w:highlight w:val="none"/>
                <w:lang w:val="en-GB" w:eastAsia="en-US" w:bidi="ar-SA"/>
              </w:rPr>
              <w:t>N</w:t>
            </w:r>
            <w:r>
              <w:rPr>
                <w:rFonts w:hint="default" w:ascii="Arial" w:hAnsi="Arial" w:eastAsia="宋体" w:cs="Times New Roman"/>
                <w:sz w:val="18"/>
                <w:szCs w:val="20"/>
                <w:highlight w:val="none"/>
                <w:lang w:val="en-GB" w:eastAsia="en-US" w:bidi="ar-SA"/>
              </w:rPr>
              <w:t>/A</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default" w:ascii="Arial" w:hAnsi="Arial" w:eastAsia="宋体" w:cs="Times New Roman"/>
                <w:sz w:val="18"/>
                <w:szCs w:val="20"/>
                <w:highlight w:val="none"/>
                <w:lang w:val="en-GB" w:eastAsia="en-US" w:bidi="ar-SA"/>
              </w:rPr>
              <w:t xml:space="preserve">7.77 </w:t>
            </w:r>
            <w:r>
              <w:rPr>
                <w:rFonts w:hint="default" w:ascii="Arial" w:hAnsi="Arial" w:eastAsia="宋体" w:cs="Arial"/>
                <w:sz w:val="18"/>
                <w:szCs w:val="18"/>
                <w:highlight w:val="none"/>
                <w:lang w:val="en-GB" w:eastAsia="en-US" w:bidi="ar-SA"/>
              </w:rPr>
              <w:t xml:space="preserve">for </w:t>
            </w:r>
            <w:r>
              <w:rPr>
                <w:rFonts w:hint="eastAsia" w:ascii="Arial" w:hAnsi="Arial" w:eastAsia="宋体" w:cs="Arial"/>
                <w:sz w:val="18"/>
                <w:szCs w:val="18"/>
                <w:highlight w:val="none"/>
                <w:lang w:val="en-US" w:eastAsia="zh-CN" w:bidi="ar-SA"/>
              </w:rPr>
              <w:t>HomNet</w:t>
            </w:r>
          </w:p>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US" w:eastAsia="zh-CN" w:bidi="ar-SA"/>
              </w:rPr>
            </w:pPr>
            <w:r>
              <w:rPr>
                <w:rFonts w:hint="default" w:ascii="Arial" w:hAnsi="Arial" w:eastAsia="宋体" w:cs="Times New Roman"/>
                <w:sz w:val="18"/>
                <w:szCs w:val="20"/>
                <w:highlight w:val="none"/>
                <w:lang w:val="en-GB" w:eastAsia="en-US" w:bidi="ar-SA"/>
              </w:rPr>
              <w:t>7.58</w:t>
            </w:r>
            <w:r>
              <w:rPr>
                <w:rFonts w:hint="eastAsia" w:ascii="Arial" w:hAnsi="Arial" w:eastAsia="宋体" w:cs="Times New Roman"/>
                <w:sz w:val="18"/>
                <w:szCs w:val="20"/>
                <w:highlight w:val="none"/>
                <w:lang w:val="en-US" w:eastAsia="zh-CN" w:bidi="ar-SA"/>
              </w:rPr>
              <w:t xml:space="preserve"> for HetNet</w:t>
            </w:r>
          </w:p>
        </w:tc>
        <w:tc>
          <w:tcPr>
            <w:tcW w:w="1710" w:type="dxa"/>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highlight w:val="none"/>
                <w:lang w:val="en-GB" w:eastAsia="en-US" w:bidi="ar-SA"/>
              </w:rPr>
            </w:pPr>
            <w:r>
              <w:rPr>
                <w:rFonts w:hint="default" w:ascii="Arial" w:hAnsi="Arial" w:eastAsia="宋体" w:cs="Times New Roman"/>
                <w:sz w:val="18"/>
                <w:szCs w:val="20"/>
                <w:highlight w:val="none"/>
                <w:lang w:val="en-GB" w:eastAsia="en-US" w:bidi="ar-SA"/>
              </w:rPr>
              <w:t xml:space="preserve">2.29 </w:t>
            </w:r>
            <w:r>
              <w:rPr>
                <w:rFonts w:hint="default" w:ascii="Arial" w:hAnsi="Arial" w:eastAsia="宋体" w:cs="Arial"/>
                <w:sz w:val="18"/>
                <w:szCs w:val="18"/>
                <w:highlight w:val="none"/>
                <w:lang w:val="en-GB" w:eastAsia="en-US" w:bidi="ar-SA"/>
              </w:rPr>
              <w:t xml:space="preserve">for </w:t>
            </w:r>
            <w:r>
              <w:rPr>
                <w:rFonts w:hint="eastAsia" w:ascii="Arial" w:hAnsi="Arial" w:eastAsia="宋体" w:cs="Arial"/>
                <w:sz w:val="18"/>
                <w:szCs w:val="18"/>
                <w:highlight w:val="none"/>
                <w:lang w:val="en-US" w:eastAsia="zh-CN" w:bidi="ar-SA"/>
              </w:rPr>
              <w:t>HomNet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k0</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 xml:space="preserve">Starting symbol (S) </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Length (L)</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aggregation factor</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Static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PRB bundling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Resource allocation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RBG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C</w:t>
            </w:r>
            <w:r>
              <w:rPr>
                <w:rFonts w:hint="eastAsia" w:ascii="Arial" w:hAnsi="Arial" w:eastAsia="宋体" w:cs="Times New Roman"/>
                <w:sz w:val="18"/>
                <w:szCs w:val="20"/>
                <w:lang w:val="en-GB" w:eastAsia="en-US" w:bidi="ar-SA"/>
              </w:rPr>
              <w:t>onfig2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i/>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Non-interleaved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2"/>
                <w:lang w:val="en-GB" w:eastAsia="ja-JP" w:bidi="ar-SA"/>
              </w:rPr>
              <w:t>VRB-to-PRB mapping interleaver bundle size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PDSCH DMRS configuration</w:t>
            </w: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Arial"/>
                <w:sz w:val="18"/>
                <w:szCs w:val="18"/>
                <w:lang w:val="en-GB" w:eastAsia="en-US" w:bidi="ar-SA"/>
              </w:rPr>
            </w:pPr>
            <w:r>
              <w:rPr>
                <w:rFonts w:hint="default" w:ascii="Arial" w:hAnsi="Arial" w:eastAsia="宋体" w:cs="Arial"/>
                <w:sz w:val="18"/>
                <w:szCs w:val="18"/>
                <w:lang w:val="en-GB" w:eastAsia="en-US" w:bidi="ar-SA"/>
              </w:rPr>
              <w:t>DMRS Type</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Type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nil"/>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additional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nil"/>
              <w:bottom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p>
        </w:tc>
        <w:tc>
          <w:tcPr>
            <w:tcW w:w="213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Maximum number of OFDM symbols for DL front loaded DMRS</w:t>
            </w:r>
          </w:p>
        </w:tc>
        <w:tc>
          <w:tcPr>
            <w:tcW w:w="682" w:type="dxa"/>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eastAsia" w:ascii="Arial" w:hAnsi="Arial" w:eastAsia="宋体" w:cs="Times New Roman"/>
                <w:sz w:val="18"/>
                <w:szCs w:val="20"/>
                <w:lang w:val="en-GB" w:eastAsia="en-US" w:bidi="ar-SA"/>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69" w:type="dxa"/>
            <w:gridSpan w:val="2"/>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Number of HARQ Processes</w:t>
            </w:r>
          </w:p>
        </w:tc>
        <w:tc>
          <w:tcPr>
            <w:tcW w:w="682" w:type="dxa"/>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p>
        </w:tc>
        <w:tc>
          <w:tcPr>
            <w:tcW w:w="5268" w:type="dxa"/>
            <w:gridSpan w:val="3"/>
            <w:tcBorders>
              <w:top w:val="single" w:color="auto" w:sz="4" w:space="0"/>
              <w:left w:val="single" w:color="auto" w:sz="4" w:space="0"/>
              <w:bottom w:val="single" w:color="auto" w:sz="4" w:space="0"/>
              <w:right w:val="single" w:color="auto" w:sz="4" w:space="0"/>
            </w:tcBorders>
            <w:shd w:val="clear" w:color="auto" w:fill="auto"/>
          </w:tcPr>
          <w:p>
            <w:pPr>
              <w:keepNext/>
              <w:keepLines/>
              <w:pageBreakBefore w:val="0"/>
              <w:widowControl/>
              <w:suppressLineNumbers w:val="0"/>
              <w:kinsoku/>
              <w:wordWrap/>
              <w:overflowPunct/>
              <w:topLinePunct w:val="0"/>
              <w:autoSpaceDE/>
              <w:autoSpaceDN/>
              <w:bidi w:val="0"/>
              <w:adjustRightInd/>
              <w:snapToGrid w:val="0"/>
              <w:spacing w:before="0" w:beforeAutospacing="0" w:after="0" w:afterAutospacing="0" w:line="240" w:lineRule="auto"/>
              <w:ind w:left="0" w:right="0"/>
              <w:jc w:val="center"/>
              <w:textAlignment w:val="auto"/>
              <w:rPr>
                <w:rFonts w:hint="default" w:ascii="Arial" w:hAnsi="Arial" w:eastAsia="宋体" w:cs="Times New Roman"/>
                <w:sz w:val="18"/>
                <w:szCs w:val="20"/>
                <w:lang w:val="en-GB" w:eastAsia="en-US" w:bidi="ar-SA"/>
              </w:rPr>
            </w:pPr>
            <w:r>
              <w:rPr>
                <w:rFonts w:hint="default" w:ascii="Arial" w:hAnsi="Arial" w:eastAsia="宋体" w:cs="Times New Roman"/>
                <w:sz w:val="18"/>
                <w:szCs w:val="20"/>
                <w:lang w:val="en-GB" w:eastAsia="en-US" w:bidi="ar-SA"/>
              </w:rPr>
              <w:t>4</w:t>
            </w:r>
          </w:p>
        </w:tc>
      </w:tr>
    </w:tbl>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center"/>
        <w:rPr>
          <w:rFonts w:hint="default"/>
          <w:b/>
          <w:bCs/>
          <w:i/>
          <w:iCs/>
          <w:szCs w:val="21"/>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 xml:space="preserve">-2. </w:t>
      </w:r>
      <w:r>
        <w:rPr>
          <w:rFonts w:hint="default" w:ascii="Times New Roman" w:hAnsi="Times New Roman" w:eastAsia="宋体" w:cs="Times New Roman"/>
          <w:b/>
          <w:kern w:val="2"/>
          <w:sz w:val="21"/>
          <w:lang w:val="en-US" w:eastAsia="zh-CN" w:bidi="ar-SA"/>
        </w:rPr>
        <w:t>SNR corresponding to 70% maximum throughput</w:t>
      </w:r>
      <w:r>
        <w:rPr>
          <w:rFonts w:hint="eastAsia" w:cs="Times New Roman"/>
          <w:b/>
          <w:kern w:val="2"/>
          <w:sz w:val="21"/>
          <w:lang w:val="en-US" w:eastAsia="zh-CN" w:bidi="ar-SA"/>
        </w:rPr>
        <w:t xml:space="preserve"> with baseline receiver and simplified receiver for inter cell interference cancellation scenario</w:t>
      </w:r>
    </w:p>
    <w:tbl>
      <w:tblPr>
        <w:tblStyle w:val="22"/>
        <w:tblpPr w:leftFromText="180" w:rightFromText="180" w:vertAnchor="text" w:horzAnchor="page" w:tblpX="680" w:tblpY="455"/>
        <w:tblOverlap w:val="never"/>
        <w:tblW w:w="110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10"/>
        <w:gridCol w:w="993"/>
        <w:gridCol w:w="777"/>
        <w:gridCol w:w="722"/>
        <w:gridCol w:w="903"/>
        <w:gridCol w:w="735"/>
        <w:gridCol w:w="762"/>
        <w:gridCol w:w="762"/>
        <w:gridCol w:w="600"/>
        <w:gridCol w:w="600"/>
        <w:gridCol w:w="869"/>
        <w:gridCol w:w="1087"/>
        <w:gridCol w:w="872"/>
        <w:gridCol w:w="8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50" w:hRule="atLeast"/>
        </w:trPr>
        <w:tc>
          <w:tcPr>
            <w:tcW w:w="51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TC#</w:t>
            </w:r>
          </w:p>
        </w:tc>
        <w:tc>
          <w:tcPr>
            <w:tcW w:w="99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Receiver</w:t>
            </w:r>
          </w:p>
        </w:tc>
        <w:tc>
          <w:tcPr>
            <w:tcW w:w="77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72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90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Scenario</w:t>
            </w:r>
          </w:p>
        </w:tc>
        <w:tc>
          <w:tcPr>
            <w:tcW w:w="73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76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Rank (target UE)</w:t>
            </w:r>
          </w:p>
        </w:tc>
        <w:tc>
          <w:tcPr>
            <w:tcW w:w="76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MCS (target UE)</w:t>
            </w:r>
          </w:p>
        </w:tc>
        <w:tc>
          <w:tcPr>
            <w:tcW w:w="60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INR1</w:t>
            </w:r>
          </w:p>
        </w:tc>
        <w:tc>
          <w:tcPr>
            <w:tcW w:w="60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INR2</w:t>
            </w:r>
          </w:p>
        </w:tc>
        <w:tc>
          <w:tcPr>
            <w:tcW w:w="869"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108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87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Alignment results </w:t>
            </w:r>
          </w:p>
        </w:tc>
        <w:tc>
          <w:tcPr>
            <w:tcW w:w="87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Impairment results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Baseline</w:t>
            </w:r>
          </w:p>
        </w:tc>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7.3</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8.4</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Simplified </w:t>
            </w: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10.9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5</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Baseline</w:t>
            </w:r>
          </w:p>
        </w:tc>
        <w:tc>
          <w:tcPr>
            <w:tcW w:w="7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TDD 30KHz SCS</w:t>
            </w:r>
          </w:p>
        </w:tc>
        <w:tc>
          <w:tcPr>
            <w:tcW w:w="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40 MHz</w:t>
            </w: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108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8.1</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6</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8.9</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4"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 xml:space="preserve">Simplified </w:t>
            </w: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HomNet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7.77</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2.29</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11.5</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5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8</w:t>
            </w: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0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HetNet</w:t>
            </w:r>
          </w:p>
        </w:tc>
        <w:tc>
          <w:tcPr>
            <w:tcW w:w="7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w:t>
            </w:r>
          </w:p>
        </w:tc>
        <w:tc>
          <w:tcPr>
            <w:tcW w:w="76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13</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eastAsia" w:ascii="Calibri" w:hAnsi="Calibri" w:eastAsia="宋体" w:cs="Calibri"/>
                <w:i w:val="0"/>
                <w:iCs w:val="0"/>
                <w:color w:val="000000"/>
                <w:kern w:val="0"/>
                <w:sz w:val="20"/>
                <w:szCs w:val="20"/>
                <w:u w:val="none"/>
                <w:lang w:val="en-US" w:eastAsia="zh-CN" w:bidi="ar"/>
              </w:rPr>
              <w:t>7</w:t>
            </w:r>
            <w:r>
              <w:rPr>
                <w:rFonts w:hint="default" w:ascii="Calibri" w:hAnsi="Calibri" w:eastAsia="宋体" w:cs="Calibri"/>
                <w:i w:val="0"/>
                <w:iCs w:val="0"/>
                <w:color w:val="000000"/>
                <w:kern w:val="0"/>
                <w:sz w:val="20"/>
                <w:szCs w:val="20"/>
                <w:u w:val="none"/>
                <w:lang w:val="en-US" w:eastAsia="zh-CN" w:bidi="ar"/>
              </w:rPr>
              <w:t>.58</w:t>
            </w:r>
          </w:p>
        </w:tc>
        <w:tc>
          <w:tcPr>
            <w:tcW w:w="6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N/A</w:t>
            </w:r>
          </w:p>
        </w:tc>
        <w:tc>
          <w:tcPr>
            <w:tcW w:w="86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108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14.6</w:t>
            </w:r>
          </w:p>
        </w:tc>
        <w:tc>
          <w:tcPr>
            <w:tcW w:w="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17.1</w:t>
            </w:r>
          </w:p>
        </w:tc>
      </w:tr>
    </w:tbl>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widowControl w:val="0"/>
        <w:spacing w:beforeLines="100" w:afterLines="0" w:line="240" w:lineRule="auto"/>
        <w:jc w:val="both"/>
      </w:pPr>
    </w:p>
    <w:p>
      <w:pPr>
        <w:spacing w:before="120" w:after="120"/>
        <w:outlineLvl w:val="1"/>
        <w:rPr>
          <w:rFonts w:hint="default" w:ascii="Times New Roman" w:hAnsi="Times New Roman" w:cs="Times New Roman"/>
          <w:b/>
          <w:kern w:val="2"/>
          <w:sz w:val="21"/>
          <w:lang w:val="en-US" w:eastAsia="zh-CN" w:bidi="ar-SA"/>
        </w:rPr>
      </w:pPr>
      <w:r>
        <w:rPr>
          <w:rFonts w:hint="eastAsia"/>
          <w:b/>
          <w:bCs/>
          <w:sz w:val="24"/>
          <w:szCs w:val="24"/>
          <w:lang w:val="en-US" w:eastAsia="zh-CN"/>
        </w:rPr>
        <w:t>Intra cell interference cancellation</w:t>
      </w:r>
      <w:r>
        <w:rPr>
          <w:rFonts w:hint="eastAsia"/>
          <w:lang w:val="en-US" w:eastAsia="zh-CN"/>
        </w:rPr>
        <w:t xml:space="preserve"> </w:t>
      </w:r>
    </w:p>
    <w:p>
      <w:pPr>
        <w:spacing w:before="120" w:after="120"/>
        <w:jc w:val="left"/>
        <w:rPr>
          <w:rFonts w:hint="eastAsia"/>
          <w:lang w:val="en-US" w:eastAsia="zh-CN"/>
        </w:rPr>
      </w:pPr>
      <w:r>
        <w:rPr>
          <w:rFonts w:hint="eastAsia"/>
          <w:lang w:val="en-US" w:eastAsia="zh-CN"/>
        </w:rPr>
        <w:t xml:space="preserve">We evaluated intra cell scenarios with different MCS, propagation conditions and different Rank, etc. </w:t>
      </w:r>
    </w:p>
    <w:p>
      <w:pPr>
        <w:spacing w:before="120" w:after="120"/>
        <w:jc w:val="left"/>
        <w:rPr>
          <w:rFonts w:hint="default"/>
          <w:lang w:val="en-US" w:eastAsia="zh-CN"/>
        </w:rPr>
      </w:pPr>
      <w:r>
        <w:rPr>
          <w:rFonts w:hint="eastAsia"/>
          <w:lang w:val="en-US" w:eastAsia="zh-CN"/>
        </w:rPr>
        <w:t>The SNR corresponding to 70% maximum throughput is shown in Table 2-3.</w:t>
      </w:r>
    </w:p>
    <w:p>
      <w:pPr>
        <w:widowControl w:val="0"/>
        <w:spacing w:beforeLines="100" w:afterLines="0" w:line="240" w:lineRule="auto"/>
        <w:jc w:val="center"/>
        <w:rPr>
          <w:rFonts w:hint="eastAsia"/>
          <w:lang w:val="en-US" w:eastAsia="zh-CN"/>
        </w:rPr>
      </w:pPr>
      <w:r>
        <w:rPr>
          <w:rFonts w:hint="default" w:ascii="Times New Roman" w:hAnsi="Times New Roman" w:cs="Times New Roman"/>
          <w:b/>
          <w:kern w:val="2"/>
          <w:sz w:val="21"/>
          <w:lang w:val="en-US" w:eastAsia="zh-CN" w:bidi="ar-SA"/>
        </w:rPr>
        <w:t>T</w:t>
      </w:r>
      <w:r>
        <w:rPr>
          <w:rFonts w:hint="default" w:ascii="Times New Roman" w:hAnsi="Times New Roman" w:eastAsia="宋体" w:cs="Times New Roman"/>
          <w:b/>
          <w:kern w:val="2"/>
          <w:sz w:val="21"/>
          <w:lang w:val="en-US" w:eastAsia="zh-CN" w:bidi="ar-SA"/>
        </w:rPr>
        <w:t>able 2-</w:t>
      </w:r>
      <w:r>
        <w:rPr>
          <w:rFonts w:hint="eastAsia" w:cs="Times New Roman"/>
          <w:b/>
          <w:kern w:val="2"/>
          <w:sz w:val="21"/>
          <w:lang w:val="en-US" w:eastAsia="zh-CN" w:bidi="ar-SA"/>
        </w:rPr>
        <w:t>3.</w:t>
      </w:r>
      <w:r>
        <w:rPr>
          <w:rFonts w:hint="default" w:ascii="Times New Roman" w:hAnsi="Times New Roman" w:eastAsia="宋体" w:cs="Times New Roman"/>
          <w:b/>
          <w:kern w:val="2"/>
          <w:sz w:val="21"/>
          <w:lang w:val="en-US" w:eastAsia="zh-CN" w:bidi="ar-SA"/>
        </w:rPr>
        <w:t xml:space="preserve"> SNR corresponding to 70% maximum throughput</w:t>
      </w:r>
      <w:r>
        <w:rPr>
          <w:rFonts w:hint="eastAsia" w:cs="Times New Roman"/>
          <w:b/>
          <w:kern w:val="2"/>
          <w:sz w:val="21"/>
          <w:lang w:val="en-US" w:eastAsia="zh-CN" w:bidi="ar-SA"/>
        </w:rPr>
        <w:t xml:space="preserve"> with baseline receiver and simplified receiver for MU-MIMO scenario</w:t>
      </w:r>
    </w:p>
    <w:tbl>
      <w:tblPr>
        <w:tblStyle w:val="22"/>
        <w:tblW w:w="983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30"/>
        <w:gridCol w:w="1060"/>
        <w:gridCol w:w="655"/>
        <w:gridCol w:w="610"/>
        <w:gridCol w:w="621"/>
        <w:gridCol w:w="594"/>
        <w:gridCol w:w="643"/>
        <w:gridCol w:w="925"/>
        <w:gridCol w:w="894"/>
        <w:gridCol w:w="773"/>
        <w:gridCol w:w="971"/>
        <w:gridCol w:w="737"/>
        <w:gridCol w:w="62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52" w:hRule="atLeast"/>
        </w:trPr>
        <w:tc>
          <w:tcPr>
            <w:tcW w:w="73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 xml:space="preserve">TC Number </w:t>
            </w:r>
          </w:p>
        </w:tc>
        <w:tc>
          <w:tcPr>
            <w:tcW w:w="106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Receiver</w:t>
            </w:r>
          </w:p>
        </w:tc>
        <w:tc>
          <w:tcPr>
            <w:tcW w:w="65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Duplex Mode and SCS</w:t>
            </w:r>
          </w:p>
        </w:tc>
        <w:tc>
          <w:tcPr>
            <w:tcW w:w="610"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CHBW</w:t>
            </w:r>
          </w:p>
        </w:tc>
        <w:tc>
          <w:tcPr>
            <w:tcW w:w="62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MIMO</w:t>
            </w:r>
          </w:p>
        </w:tc>
        <w:tc>
          <w:tcPr>
            <w:tcW w:w="594"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Rank for target + Co-UE</w:t>
            </w:r>
          </w:p>
        </w:tc>
        <w:tc>
          <w:tcPr>
            <w:tcW w:w="64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MCS (target UE)</w:t>
            </w:r>
          </w:p>
        </w:tc>
        <w:tc>
          <w:tcPr>
            <w:tcW w:w="925"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Precoder selection</w:t>
            </w:r>
          </w:p>
        </w:tc>
        <w:tc>
          <w:tcPr>
            <w:tcW w:w="894"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Channel Model</w:t>
            </w:r>
          </w:p>
        </w:tc>
        <w:tc>
          <w:tcPr>
            <w:tcW w:w="773"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Antenna correlation</w:t>
            </w:r>
          </w:p>
        </w:tc>
        <w:tc>
          <w:tcPr>
            <w:tcW w:w="971"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b/>
                <w:bCs/>
                <w:i w:val="0"/>
                <w:iCs w:val="0"/>
                <w:color w:val="000000"/>
                <w:sz w:val="20"/>
                <w:szCs w:val="20"/>
                <w:u w:val="none"/>
              </w:rPr>
            </w:pPr>
            <w:r>
              <w:rPr>
                <w:rFonts w:hint="default" w:ascii="Calibri" w:hAnsi="Calibri" w:eastAsia="宋体" w:cs="Calibri"/>
                <w:b/>
                <w:bCs/>
                <w:i w:val="0"/>
                <w:iCs w:val="0"/>
                <w:color w:val="000000"/>
                <w:kern w:val="0"/>
                <w:sz w:val="20"/>
                <w:szCs w:val="20"/>
                <w:u w:val="none"/>
                <w:lang w:val="en-US" w:eastAsia="zh-CN" w:bidi="ar"/>
              </w:rPr>
              <w:t>Modulation order for the co-scheduled UE</w:t>
            </w:r>
          </w:p>
        </w:tc>
        <w:tc>
          <w:tcPr>
            <w:tcW w:w="737"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Alignment results </w:t>
            </w:r>
          </w:p>
        </w:tc>
        <w:tc>
          <w:tcPr>
            <w:tcW w:w="622" w:type="dxa"/>
            <w:tcBorders>
              <w:top w:val="single" w:color="000000" w:sz="4" w:space="0"/>
              <w:left w:val="single" w:color="000000" w:sz="4" w:space="0"/>
              <w:bottom w:val="single" w:color="000000" w:sz="4" w:space="0"/>
              <w:right w:val="single" w:color="000000" w:sz="4" w:space="0"/>
            </w:tcBorders>
            <w:shd w:val="clear" w:color="auto" w:fill="B7DEE8"/>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b/>
                <w:bCs/>
                <w:i w:val="0"/>
                <w:iCs w:val="0"/>
                <w:color w:val="000000"/>
                <w:kern w:val="0"/>
                <w:sz w:val="20"/>
                <w:szCs w:val="20"/>
                <w:u w:val="none"/>
                <w:lang w:val="en-US" w:eastAsia="zh-CN" w:bidi="ar"/>
              </w:rPr>
            </w:pPr>
            <w:r>
              <w:rPr>
                <w:rFonts w:hint="default" w:ascii="Calibri" w:hAnsi="Calibri" w:eastAsia="宋体" w:cs="Calibri"/>
                <w:b/>
                <w:bCs/>
                <w:i w:val="0"/>
                <w:iCs w:val="0"/>
                <w:color w:val="000000"/>
                <w:kern w:val="0"/>
                <w:sz w:val="20"/>
                <w:szCs w:val="20"/>
                <w:u w:val="none"/>
                <w:lang w:val="en-US" w:eastAsia="zh-CN" w:bidi="ar"/>
              </w:rPr>
              <w:t xml:space="preserve">Impairment results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Baseline</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FDD 15KHz SCS</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10 MHz</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Orthogonal</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16QAM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9.7</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2"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2</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Simplified</w:t>
            </w: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14.1</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0"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3</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Baseline</w:t>
            </w:r>
          </w:p>
        </w:tc>
        <w:tc>
          <w:tcPr>
            <w:tcW w:w="65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TDD 30KHz SCS</w:t>
            </w:r>
          </w:p>
        </w:tc>
        <w:tc>
          <w:tcPr>
            <w:tcW w:w="6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40 MHz</w:t>
            </w: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Orthogonal</w:t>
            </w:r>
          </w:p>
        </w:tc>
        <w:tc>
          <w:tcPr>
            <w:tcW w:w="8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TDLA30-10</w:t>
            </w:r>
          </w:p>
        </w:tc>
        <w:tc>
          <w:tcPr>
            <w:tcW w:w="77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ULA Low</w:t>
            </w:r>
          </w:p>
        </w:tc>
        <w:tc>
          <w:tcPr>
            <w:tcW w:w="9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16QAM</w:t>
            </w: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10.2</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eastAsia="宋体" w:cs="Calibri"/>
                <w:i w:val="0"/>
                <w:iCs w:val="0"/>
                <w:color w:val="000000"/>
                <w:kern w:val="0"/>
                <w:sz w:val="20"/>
                <w:szCs w:val="20"/>
                <w:u w:val="none"/>
                <w:lang w:val="en-US" w:eastAsia="zh-CN" w:bidi="ar"/>
              </w:rPr>
            </w:pPr>
            <w:r>
              <w:rPr>
                <w:rFonts w:hint="eastAsia" w:ascii="Calibri" w:hAnsi="Calibri" w:cs="Calibri"/>
                <w:i w:val="0"/>
                <w:iCs w:val="0"/>
                <w:color w:val="000000"/>
                <w:kern w:val="0"/>
                <w:sz w:val="20"/>
                <w:szCs w:val="20"/>
                <w:u w:val="none"/>
                <w:lang w:val="en-US" w:eastAsia="zh-CN" w:bidi="ar"/>
              </w:rPr>
              <w:t>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1" w:hRule="atLeast"/>
        </w:trPr>
        <w:tc>
          <w:tcPr>
            <w:tcW w:w="7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4</w:t>
            </w:r>
          </w:p>
        </w:tc>
        <w:tc>
          <w:tcPr>
            <w:tcW w:w="1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Calibri" w:hAnsi="Calibri" w:eastAsia="宋体" w:cs="Calibri"/>
                <w:i w:val="0"/>
                <w:iCs w:val="0"/>
                <w:color w:val="000000"/>
                <w:kern w:val="0"/>
                <w:sz w:val="20"/>
                <w:szCs w:val="20"/>
                <w:u w:val="none"/>
                <w:lang w:val="en-US" w:eastAsia="zh-CN" w:bidi="ar"/>
              </w:rPr>
            </w:pPr>
            <w:r>
              <w:rPr>
                <w:rFonts w:hint="eastAsia" w:ascii="Calibri" w:hAnsi="Calibri" w:eastAsia="宋体" w:cs="Calibri"/>
                <w:i w:val="0"/>
                <w:iCs w:val="0"/>
                <w:color w:val="000000"/>
                <w:kern w:val="0"/>
                <w:sz w:val="20"/>
                <w:szCs w:val="20"/>
                <w:u w:val="none"/>
                <w:lang w:val="en-US" w:eastAsia="zh-CN" w:bidi="ar"/>
              </w:rPr>
              <w:t>Simplified</w:t>
            </w:r>
          </w:p>
        </w:tc>
        <w:tc>
          <w:tcPr>
            <w:tcW w:w="65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6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4T8R</w:t>
            </w:r>
          </w:p>
        </w:tc>
        <w:tc>
          <w:tcPr>
            <w:tcW w:w="59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2+2</w:t>
            </w:r>
          </w:p>
        </w:tc>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Calibri" w:hAnsi="Calibri" w:cs="Calibri"/>
                <w:i w:val="0"/>
                <w:iCs w:val="0"/>
                <w:color w:val="000000"/>
                <w:sz w:val="20"/>
                <w:szCs w:val="20"/>
                <w:u w:val="none"/>
              </w:rPr>
            </w:pPr>
            <w:r>
              <w:rPr>
                <w:rFonts w:hint="default" w:ascii="Calibri" w:hAnsi="Calibri" w:eastAsia="宋体" w:cs="Calibri"/>
                <w:i w:val="0"/>
                <w:iCs w:val="0"/>
                <w:color w:val="000000"/>
                <w:kern w:val="0"/>
                <w:sz w:val="20"/>
                <w:szCs w:val="20"/>
                <w:u w:val="none"/>
                <w:lang w:val="en-US" w:eastAsia="zh-CN" w:bidi="ar"/>
              </w:rPr>
              <w:t>MCS 17</w:t>
            </w:r>
          </w:p>
        </w:tc>
        <w:tc>
          <w:tcPr>
            <w:tcW w:w="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8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7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9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cs="Calibri"/>
                <w:i w:val="0"/>
                <w:iCs w:val="0"/>
                <w:color w:val="000000"/>
                <w:sz w:val="20"/>
                <w:szCs w:val="20"/>
                <w:u w:val="none"/>
              </w:rPr>
            </w:pPr>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14.6</w:t>
            </w:r>
          </w:p>
        </w:tc>
        <w:tc>
          <w:tcPr>
            <w:tcW w:w="6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rPr>
                <w:rFonts w:hint="default" w:ascii="Calibri" w:hAnsi="Calibri" w:eastAsia="宋体" w:cs="Calibri"/>
                <w:i w:val="0"/>
                <w:iCs w:val="0"/>
                <w:color w:val="000000"/>
                <w:sz w:val="20"/>
                <w:szCs w:val="20"/>
                <w:u w:val="none"/>
                <w:lang w:val="en-US" w:eastAsia="zh-CN"/>
              </w:rPr>
            </w:pPr>
            <w:r>
              <w:rPr>
                <w:rFonts w:hint="eastAsia" w:ascii="Calibri" w:hAnsi="Calibri" w:cs="Calibri"/>
                <w:i w:val="0"/>
                <w:iCs w:val="0"/>
                <w:color w:val="000000"/>
                <w:sz w:val="20"/>
                <w:szCs w:val="20"/>
                <w:u w:val="none"/>
                <w:lang w:val="en-US" w:eastAsia="zh-CN"/>
              </w:rPr>
              <w:t>17.1</w:t>
            </w:r>
          </w:p>
        </w:tc>
      </w:tr>
    </w:tbl>
    <w:p>
      <w:pPr>
        <w:spacing w:before="120" w:after="120"/>
        <w:rPr>
          <w:rFonts w:hint="eastAsia"/>
          <w:lang w:val="en-US" w:eastAsia="zh-CN"/>
        </w:rPr>
      </w:pPr>
    </w:p>
    <w:p>
      <w:pPr>
        <w:spacing w:before="120" w:after="120"/>
        <w:rPr>
          <w:rFonts w:hint="default"/>
          <w:lang w:val="en-US" w:eastAsia="zh-CN"/>
        </w:rPr>
      </w:pPr>
    </w:p>
    <w:p>
      <w:pPr>
        <w:spacing w:before="120" w:after="120"/>
        <w:rPr>
          <w:rFonts w:hint="default"/>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w:t>
      </w:r>
      <w:r>
        <w:rPr>
          <w:rFonts w:hint="eastAsia"/>
          <w:bCs/>
          <w:kern w:val="0"/>
          <w:szCs w:val="21"/>
          <w:lang w:val="en-US" w:eastAsia="zh-CN"/>
        </w:rPr>
        <w:t>provided the simulation results for UE demodulation performance requirements for 8Rx with MMSE-IRC, which including inter cell interference cancellation and intra cell interference cancellation.</w:t>
      </w:r>
    </w:p>
    <w:p>
      <w:pPr>
        <w:widowControl w:val="0"/>
        <w:numPr>
          <w:ilvl w:val="255"/>
          <w:numId w:val="0"/>
        </w:numPr>
        <w:spacing w:beforeLines="0" w:afterLines="0" w:line="240" w:lineRule="auto"/>
        <w:rPr>
          <w:rFonts w:hint="eastAsia"/>
          <w:bCs/>
          <w:kern w:val="0"/>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8"/>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 xml:space="preserve">RP-240831, New WID: WI resulting from discussion on Demodulation performance requirements enhancements. </w:t>
      </w:r>
    </w:p>
    <w:p>
      <w:pPr>
        <w:pStyle w:val="33"/>
        <w:numPr>
          <w:ilvl w:val="0"/>
          <w:numId w:val="8"/>
        </w:numPr>
        <w:spacing w:afterLines="0" w:line="259" w:lineRule="auto"/>
        <w:ind w:right="-22"/>
        <w:jc w:val="left"/>
        <w:rPr>
          <w:rFonts w:hint="eastAsia" w:eastAsia="宋体" w:cstheme="minorBidi"/>
          <w:kern w:val="0"/>
          <w:sz w:val="21"/>
          <w:szCs w:val="21"/>
          <w:lang w:val="en-US" w:eastAsia="en-US"/>
        </w:rPr>
      </w:pPr>
      <w:r>
        <w:rPr>
          <w:rFonts w:hint="eastAsia" w:eastAsia="宋体" w:cstheme="minorBidi"/>
          <w:kern w:val="0"/>
          <w:sz w:val="21"/>
          <w:szCs w:val="21"/>
          <w:lang w:val="en-US" w:eastAsia="en-US"/>
        </w:rPr>
        <w:t>R4-2413570, WF on NR demodulation performance: Phase 5. China Telcom.</w:t>
      </w:r>
    </w:p>
    <w:p>
      <w:pPr>
        <w:pStyle w:val="33"/>
        <w:numPr>
          <w:ilvl w:val="0"/>
          <w:numId w:val="0"/>
        </w:numPr>
        <w:spacing w:afterLines="0" w:line="259" w:lineRule="auto"/>
        <w:ind w:left="-60" w:leftChars="0" w:right="-22" w:rightChars="0"/>
        <w:jc w:val="left"/>
        <w:rPr>
          <w:rFonts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Segoe UI">
    <w:panose1 w:val="020B0502040204020203"/>
    <w:charset w:val="00"/>
    <w:family w:val="swiss"/>
    <w:pitch w:val="default"/>
    <w:sig w:usb0="E4002EFF" w:usb1="C000E47F"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v5.0.0">
    <w:altName w:val="Times New Roman"/>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7F1A6A2D"/>
    <w:multiLevelType w:val="multilevel"/>
    <w:tmpl w:val="7F1A6A2D"/>
    <w:lvl w:ilvl="0" w:tentative="0">
      <w:start w:val="1"/>
      <w:numFmt w:val="bullet"/>
      <w:lvlText w:val=""/>
      <w:lvlJc w:val="left"/>
      <w:pPr>
        <w:ind w:left="420" w:hanging="420"/>
      </w:pPr>
      <w:rPr>
        <w:rFonts w:hint="default" w:ascii="Symbol" w:hAnsi="Symbol"/>
      </w:rPr>
    </w:lvl>
    <w:lvl w:ilvl="1" w:tentative="0">
      <w:start w:val="2"/>
      <w:numFmt w:val="bullet"/>
      <w:lvlText w:val="-"/>
      <w:lvlJc w:val="left"/>
      <w:pPr>
        <w:ind w:left="840" w:hanging="420"/>
      </w:pPr>
      <w:rPr>
        <w:rFonts w:hint="default" w:ascii="Segoe UI" w:hAnsi="Segoe UI" w:eastAsia="宋体" w:cs="Segoe UI"/>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0"/>
      <w:numFmt w:val="bullet"/>
      <w:lvlText w:val="·"/>
      <w:lvlJc w:val="left"/>
      <w:pPr>
        <w:ind w:left="2100" w:hanging="420"/>
      </w:pPr>
      <w:rPr>
        <w:rFonts w:hint="default" w:ascii="Times New Roman" w:hAnsi="Times New Roman" w:eastAsia="Arial Unicode MS" w:cs="Times New Roman"/>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2025-08-15T12:01:27Z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